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7F" w:rsidRDefault="0004107F" w:rsidP="00344DF9">
      <w:pPr>
        <w:jc w:val="center"/>
        <w:rPr>
          <w:sz w:val="20"/>
          <w:szCs w:val="20"/>
        </w:rPr>
      </w:pPr>
    </w:p>
    <w:p w:rsidR="00823935" w:rsidRPr="006479DF" w:rsidRDefault="00823935" w:rsidP="00344DF9">
      <w:pPr>
        <w:jc w:val="center"/>
        <w:rPr>
          <w:sz w:val="20"/>
          <w:szCs w:val="20"/>
        </w:rPr>
      </w:pPr>
      <w:r w:rsidRPr="00030BA4">
        <w:rPr>
          <w:rFonts w:ascii="Century Gothic" w:hAnsi="Century Gothic"/>
          <w:noProof/>
        </w:rPr>
        <w:drawing>
          <wp:inline distT="0" distB="0" distL="0" distR="0" wp14:anchorId="165945C6" wp14:editId="79D66E4E">
            <wp:extent cx="762000" cy="704459"/>
            <wp:effectExtent l="0" t="0" r="0" b="635"/>
            <wp:docPr id="3" name="Obrázok 3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69" cy="72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BA4">
        <w:rPr>
          <w:rFonts w:ascii="Century Gothic" w:hAnsi="Century Gothic"/>
        </w:rPr>
        <w:t xml:space="preserve">                          </w:t>
      </w:r>
      <w:r w:rsidRPr="00030BA4">
        <w:rPr>
          <w:rFonts w:ascii="Century Gothic" w:hAnsi="Century Gothic"/>
          <w:noProof/>
        </w:rPr>
        <w:drawing>
          <wp:inline distT="0" distB="0" distL="0" distR="0" wp14:anchorId="6893A7B1" wp14:editId="0395310F">
            <wp:extent cx="1459966" cy="612826"/>
            <wp:effectExtent l="0" t="0" r="6985" b="0"/>
            <wp:docPr id="4" name="Obrázok 4" descr="C:\Users\hronec\Desktop\Logá a grafika\OP VaI\OPVaI_ce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OP VaI\OPVaI_ce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387" cy="62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BA4">
        <w:rPr>
          <w:rFonts w:ascii="Century Gothic" w:hAnsi="Century Gothic"/>
        </w:rPr>
        <w:t xml:space="preserve">                            </w:t>
      </w:r>
      <w:r w:rsidRPr="00030BA4">
        <w:rPr>
          <w:rFonts w:ascii="Century Gothic" w:hAnsi="Century Gothic"/>
          <w:noProof/>
        </w:rPr>
        <w:t xml:space="preserve"> </w:t>
      </w:r>
      <w:r w:rsidRPr="00030BA4">
        <w:rPr>
          <w:rFonts w:ascii="Century Gothic" w:hAnsi="Century Gothic"/>
          <w:noProof/>
        </w:rPr>
        <w:drawing>
          <wp:inline distT="0" distB="0" distL="0" distR="0" wp14:anchorId="74E793CC" wp14:editId="731DF3FD">
            <wp:extent cx="1540928" cy="620779"/>
            <wp:effectExtent l="0" t="0" r="2540" b="8255"/>
            <wp:docPr id="5" name="Obrázok 5" descr="C:\Users\hronec\Desktop\Logá a grafika\MŠVVaŠ\Nové logo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MŠVVaŠ\Nové logo\Logo_MŠ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561" cy="64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BA4">
        <w:rPr>
          <w:rFonts w:ascii="Century Gothic" w:hAnsi="Century Gothic"/>
          <w:noProof/>
        </w:rPr>
        <w:t xml:space="preserve"> </w:t>
      </w:r>
      <w:r>
        <w:rPr>
          <w:rFonts w:ascii="Century Gothic" w:hAnsi="Century Gothic"/>
          <w:noProof/>
        </w:rPr>
        <w:t xml:space="preserve">                          </w:t>
      </w:r>
      <w:r w:rsidRPr="00030BA4">
        <w:rPr>
          <w:rFonts w:ascii="Century Gothic" w:hAnsi="Century Gothic"/>
          <w:noProof/>
        </w:rPr>
        <w:drawing>
          <wp:inline distT="0" distB="0" distL="0" distR="0" wp14:anchorId="14C6B7B5" wp14:editId="268245EA">
            <wp:extent cx="1643334" cy="588010"/>
            <wp:effectExtent l="0" t="0" r="0" b="2540"/>
            <wp:docPr id="6" name="Obrázok 6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71" cy="60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6F5" w:rsidRDefault="00EA76F5" w:rsidP="0004107F">
      <w:pPr>
        <w:jc w:val="center"/>
        <w:rPr>
          <w:sz w:val="20"/>
          <w:szCs w:val="20"/>
        </w:rPr>
      </w:pPr>
    </w:p>
    <w:tbl>
      <w:tblPr>
        <w:tblStyle w:val="Mriekatabuky"/>
        <w:tblW w:w="0" w:type="auto"/>
        <w:shd w:val="clear" w:color="auto" w:fill="006EB6"/>
        <w:tblLook w:val="04A0" w:firstRow="1" w:lastRow="0" w:firstColumn="1" w:lastColumn="0" w:noHBand="0" w:noVBand="1"/>
      </w:tblPr>
      <w:tblGrid>
        <w:gridCol w:w="14142"/>
      </w:tblGrid>
      <w:tr w:rsidR="00EA76F5" w:rsidRPr="005E51A4" w:rsidTr="00FE7AE1">
        <w:trPr>
          <w:cantSplit/>
          <w:trHeight w:val="680"/>
        </w:trPr>
        <w:tc>
          <w:tcPr>
            <w:tcW w:w="14142" w:type="dxa"/>
            <w:shd w:val="clear" w:color="auto" w:fill="006EB6"/>
          </w:tcPr>
          <w:p w:rsidR="00EA76F5" w:rsidRPr="005E51A4" w:rsidRDefault="00EA76F5" w:rsidP="00E66F0C">
            <w:pPr>
              <w:pBdr>
                <w:bottom w:val="single" w:sz="8" w:space="4" w:color="4F81BD" w:themeColor="accent1"/>
              </w:pBdr>
              <w:shd w:val="clear" w:color="auto" w:fill="006EB6"/>
              <w:spacing w:after="300"/>
              <w:contextualSpacing/>
              <w:rPr>
                <w:rFonts w:asciiTheme="majorHAnsi" w:eastAsiaTheme="majorEastAsia" w:hAnsiTheme="majorHAnsi"/>
                <w:spacing w:val="5"/>
                <w:kern w:val="28"/>
                <w:sz w:val="20"/>
                <w:szCs w:val="20"/>
              </w:rPr>
            </w:pPr>
            <w:r w:rsidRPr="003579E1">
              <w:rPr>
                <w:rFonts w:ascii="Century Gothic" w:eastAsiaTheme="majorEastAsia" w:hAnsi="Century Gothic"/>
                <w:color w:val="FFFFFF" w:themeColor="background1"/>
                <w:spacing w:val="5"/>
                <w:kern w:val="28"/>
                <w:sz w:val="36"/>
                <w:szCs w:val="36"/>
              </w:rPr>
              <w:t>Doplňujúce monitorovacie údaje</w:t>
            </w:r>
            <w:r w:rsidRPr="003579E1">
              <w:rPr>
                <w:rFonts w:ascii="Century Gothic" w:eastAsiaTheme="majorEastAsia" w:hAnsi="Century Gothic"/>
                <w:color w:val="FFFFFF" w:themeColor="background1"/>
                <w:spacing w:val="5"/>
                <w:kern w:val="28"/>
                <w:sz w:val="40"/>
                <w:szCs w:val="40"/>
                <w:vertAlign w:val="superscript"/>
              </w:rPr>
              <w:footnoteReference w:id="1"/>
            </w:r>
          </w:p>
        </w:tc>
      </w:tr>
    </w:tbl>
    <w:p w:rsidR="00EA76F5" w:rsidRDefault="00EA76F5" w:rsidP="00EA76F5">
      <w:pPr>
        <w:rPr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69"/>
        <w:gridCol w:w="10773"/>
      </w:tblGrid>
      <w:tr w:rsidR="00EA76F5" w:rsidRPr="00E66F0C" w:rsidTr="00E66F0C">
        <w:tc>
          <w:tcPr>
            <w:tcW w:w="14142" w:type="dxa"/>
            <w:gridSpan w:val="2"/>
            <w:shd w:val="clear" w:color="auto" w:fill="67B346"/>
          </w:tcPr>
          <w:p w:rsidR="00EA76F5" w:rsidRPr="00E66F0C" w:rsidRDefault="00EA76F5" w:rsidP="00A7418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Základné údaje o projekte</w:t>
            </w:r>
            <w:r w:rsidRPr="00E66F0C">
              <w:rPr>
                <w:rStyle w:val="Odkaznapoznmkupodiarou"/>
                <w:rFonts w:ascii="Century Gothic" w:hAnsi="Century Gothic"/>
                <w:sz w:val="20"/>
                <w:szCs w:val="20"/>
              </w:rPr>
              <w:footnoteReference w:id="2"/>
            </w:r>
          </w:p>
        </w:tc>
      </w:tr>
      <w:tr w:rsidR="00EA76F5" w:rsidRPr="00E66F0C" w:rsidTr="00A74189">
        <w:tc>
          <w:tcPr>
            <w:tcW w:w="3369" w:type="dxa"/>
            <w:shd w:val="clear" w:color="auto" w:fill="D9D9D9" w:themeFill="background1" w:themeFillShade="D9"/>
          </w:tcPr>
          <w:p w:rsidR="00EA76F5" w:rsidRPr="00E66F0C" w:rsidRDefault="00EA76F5" w:rsidP="00A7418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Názov projektu</w:t>
            </w:r>
          </w:p>
        </w:tc>
        <w:tc>
          <w:tcPr>
            <w:tcW w:w="1077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A74189">
        <w:tc>
          <w:tcPr>
            <w:tcW w:w="3369" w:type="dxa"/>
            <w:shd w:val="clear" w:color="auto" w:fill="D9D9D9" w:themeFill="background1" w:themeFillShade="D9"/>
          </w:tcPr>
          <w:p w:rsidR="00EA76F5" w:rsidRPr="00E66F0C" w:rsidRDefault="00EA76F5" w:rsidP="00A7418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Kód ITMS2014+</w:t>
            </w:r>
          </w:p>
        </w:tc>
        <w:tc>
          <w:tcPr>
            <w:tcW w:w="1077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A74189">
        <w:tc>
          <w:tcPr>
            <w:tcW w:w="3369" w:type="dxa"/>
            <w:shd w:val="clear" w:color="auto" w:fill="D9D9D9" w:themeFill="background1" w:themeFillShade="D9"/>
          </w:tcPr>
          <w:p w:rsidR="00EA76F5" w:rsidRPr="00E66F0C" w:rsidRDefault="00EA76F5" w:rsidP="00A7418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Prijímateľ</w:t>
            </w:r>
          </w:p>
        </w:tc>
        <w:tc>
          <w:tcPr>
            <w:tcW w:w="1077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A74189">
        <w:tc>
          <w:tcPr>
            <w:tcW w:w="3369" w:type="dxa"/>
            <w:shd w:val="clear" w:color="auto" w:fill="D9D9D9" w:themeFill="background1" w:themeFillShade="D9"/>
          </w:tcPr>
          <w:p w:rsidR="00EA76F5" w:rsidRPr="00E66F0C" w:rsidRDefault="00EA76F5" w:rsidP="00A7418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Partner</w:t>
            </w:r>
          </w:p>
        </w:tc>
        <w:tc>
          <w:tcPr>
            <w:tcW w:w="1077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A74189">
        <w:tc>
          <w:tcPr>
            <w:tcW w:w="3369" w:type="dxa"/>
            <w:shd w:val="clear" w:color="auto" w:fill="D9D9D9" w:themeFill="background1" w:themeFillShade="D9"/>
          </w:tcPr>
          <w:p w:rsidR="00EA76F5" w:rsidRPr="00E66F0C" w:rsidRDefault="00EA76F5" w:rsidP="00A7418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 xml:space="preserve">Riadiaci orgán </w:t>
            </w:r>
          </w:p>
        </w:tc>
        <w:tc>
          <w:tcPr>
            <w:tcW w:w="1077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A74189">
        <w:tc>
          <w:tcPr>
            <w:tcW w:w="3369" w:type="dxa"/>
            <w:shd w:val="clear" w:color="auto" w:fill="D9D9D9" w:themeFill="background1" w:themeFillShade="D9"/>
          </w:tcPr>
          <w:p w:rsidR="00EA76F5" w:rsidRPr="00E66F0C" w:rsidRDefault="00EA76F5" w:rsidP="00A7418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Sprostredkovateľský orgán</w:t>
            </w:r>
          </w:p>
        </w:tc>
        <w:tc>
          <w:tcPr>
            <w:tcW w:w="1077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EA76F5" w:rsidRPr="00E66F0C" w:rsidRDefault="00EA76F5" w:rsidP="00EA76F5">
      <w:pPr>
        <w:rPr>
          <w:rFonts w:ascii="Century Gothic" w:hAnsi="Century Gothic"/>
          <w:b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04"/>
        <w:gridCol w:w="1493"/>
        <w:gridCol w:w="1706"/>
        <w:gridCol w:w="1417"/>
        <w:gridCol w:w="1701"/>
        <w:gridCol w:w="1843"/>
        <w:gridCol w:w="1843"/>
        <w:gridCol w:w="2835"/>
      </w:tblGrid>
      <w:tr w:rsidR="00EA76F5" w:rsidRPr="00E66F0C" w:rsidTr="00E66F0C">
        <w:tc>
          <w:tcPr>
            <w:tcW w:w="14142" w:type="dxa"/>
            <w:gridSpan w:val="8"/>
            <w:shd w:val="clear" w:color="auto" w:fill="67B346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 xml:space="preserve">     2. Vzťah aktivít a merateľných ukazovateľov projektu</w:t>
            </w:r>
          </w:p>
        </w:tc>
      </w:tr>
      <w:tr w:rsidR="00EA76F5" w:rsidRPr="00E66F0C" w:rsidTr="00714388">
        <w:trPr>
          <w:cantSplit/>
          <w:trHeight w:val="737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71438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Aktivity projektu</w:t>
            </w:r>
          </w:p>
        </w:tc>
        <w:tc>
          <w:tcPr>
            <w:tcW w:w="1493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BC016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Merateľný ukazovateľ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706" w:type="dxa"/>
            <w:shd w:val="clear" w:color="auto" w:fill="D9D9D9" w:themeFill="background1" w:themeFillShade="D9"/>
            <w:vAlign w:val="center"/>
          </w:tcPr>
          <w:p w:rsidR="00EA76F5" w:rsidRPr="00E66F0C" w:rsidRDefault="00EA76F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Relevancia merateľného ukazovateľa k HP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A76F5" w:rsidRPr="00E66F0C" w:rsidRDefault="00EA76F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Príznak rizika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A76F5" w:rsidRPr="00E66F0C" w:rsidRDefault="00EA76F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Merná jednotka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26618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Plánovaný stav MU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26618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Skutočný stav MU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8"/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EA76F5" w:rsidRPr="00E66F0C" w:rsidRDefault="00EA76F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Miera plnenia MU</w:t>
            </w:r>
          </w:p>
          <w:p w:rsidR="00EA76F5" w:rsidRPr="00E66F0C" w:rsidRDefault="00EA76F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(v %)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9"/>
            </w:r>
          </w:p>
        </w:tc>
      </w:tr>
      <w:tr w:rsidR="00EA76F5" w:rsidRPr="00E66F0C" w:rsidTr="00714388">
        <w:trPr>
          <w:cantSplit/>
          <w:trHeight w:val="340"/>
        </w:trPr>
        <w:tc>
          <w:tcPr>
            <w:tcW w:w="1304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(1)</w:t>
            </w:r>
          </w:p>
        </w:tc>
        <w:tc>
          <w:tcPr>
            <w:tcW w:w="1493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(2)</w:t>
            </w:r>
          </w:p>
        </w:tc>
        <w:tc>
          <w:tcPr>
            <w:tcW w:w="1706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(3)</w:t>
            </w:r>
          </w:p>
        </w:tc>
        <w:tc>
          <w:tcPr>
            <w:tcW w:w="1417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(4)</w:t>
            </w:r>
          </w:p>
        </w:tc>
        <w:tc>
          <w:tcPr>
            <w:tcW w:w="1701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(5)</w:t>
            </w:r>
          </w:p>
        </w:tc>
        <w:tc>
          <w:tcPr>
            <w:tcW w:w="1843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(6)</w:t>
            </w:r>
          </w:p>
        </w:tc>
        <w:tc>
          <w:tcPr>
            <w:tcW w:w="1843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(7)</w:t>
            </w:r>
          </w:p>
        </w:tc>
        <w:tc>
          <w:tcPr>
            <w:tcW w:w="2835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(8)=(7)/(6)</w:t>
            </w:r>
          </w:p>
        </w:tc>
      </w:tr>
      <w:tr w:rsidR="00EA76F5" w:rsidRPr="00E66F0C" w:rsidTr="00A74189">
        <w:tc>
          <w:tcPr>
            <w:tcW w:w="1304" w:type="dxa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sz w:val="20"/>
                <w:szCs w:val="20"/>
              </w:rPr>
              <w:t>Aktivita n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0"/>
            </w:r>
          </w:p>
        </w:tc>
        <w:tc>
          <w:tcPr>
            <w:tcW w:w="149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06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7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01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A74189">
        <w:tc>
          <w:tcPr>
            <w:tcW w:w="1304" w:type="dxa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sz w:val="20"/>
                <w:szCs w:val="20"/>
              </w:rPr>
              <w:lastRenderedPageBreak/>
              <w:t>Poznámky k aktivite n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1"/>
            </w:r>
          </w:p>
        </w:tc>
        <w:tc>
          <w:tcPr>
            <w:tcW w:w="12838" w:type="dxa"/>
            <w:gridSpan w:val="7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EA76F5" w:rsidRPr="00E66F0C" w:rsidRDefault="00EA76F5" w:rsidP="00EA76F5">
      <w:pPr>
        <w:rPr>
          <w:rFonts w:ascii="Century Gothic" w:hAnsi="Century Gothic"/>
          <w:b/>
          <w:sz w:val="20"/>
          <w:szCs w:val="20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2397"/>
        <w:gridCol w:w="1843"/>
        <w:gridCol w:w="1985"/>
        <w:gridCol w:w="1842"/>
        <w:gridCol w:w="1985"/>
        <w:gridCol w:w="2410"/>
      </w:tblGrid>
      <w:tr w:rsidR="00EA76F5" w:rsidRPr="00E66F0C" w:rsidTr="00E66F0C">
        <w:trPr>
          <w:jc w:val="center"/>
        </w:trPr>
        <w:tc>
          <w:tcPr>
            <w:tcW w:w="14142" w:type="dxa"/>
            <w:gridSpan w:val="7"/>
            <w:shd w:val="clear" w:color="auto" w:fill="67B346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 xml:space="preserve">     3. Kumulatívne naplnenie merateľných ukazovateľov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2"/>
            </w:r>
          </w:p>
        </w:tc>
      </w:tr>
      <w:tr w:rsidR="00EA76F5" w:rsidRPr="00E66F0C" w:rsidTr="00714388">
        <w:trPr>
          <w:trHeight w:val="1012"/>
          <w:jc w:val="center"/>
        </w:trPr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71438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Merateľný ukazovateľ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3"/>
            </w:r>
          </w:p>
        </w:tc>
        <w:tc>
          <w:tcPr>
            <w:tcW w:w="2397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Relevancia merateľného ukazovateľa k HP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4"/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Príznak rizika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5"/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Merná jednotka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6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26618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Plánovaný stav MU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7"/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Skutočný stav MU</w:t>
            </w:r>
            <w:r w:rsidRPr="00E66F0C">
              <w:rPr>
                <w:rStyle w:val="Odkaznapoznmkupodiarou"/>
                <w:rFonts w:ascii="Century Gothic" w:hAnsi="Century Gothic"/>
                <w:sz w:val="20"/>
                <w:szCs w:val="20"/>
              </w:rPr>
              <w:footnoteReference w:id="18"/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Miera plnenia MU</w:t>
            </w:r>
          </w:p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(v %)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19"/>
            </w:r>
          </w:p>
        </w:tc>
      </w:tr>
      <w:tr w:rsidR="00EA76F5" w:rsidRPr="00E66F0C" w:rsidTr="00714388">
        <w:trPr>
          <w:jc w:val="center"/>
        </w:trPr>
        <w:tc>
          <w:tcPr>
            <w:tcW w:w="1680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(1)</w:t>
            </w:r>
          </w:p>
        </w:tc>
        <w:tc>
          <w:tcPr>
            <w:tcW w:w="2397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(2)</w:t>
            </w:r>
          </w:p>
        </w:tc>
        <w:tc>
          <w:tcPr>
            <w:tcW w:w="1843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(3)</w:t>
            </w:r>
          </w:p>
        </w:tc>
        <w:tc>
          <w:tcPr>
            <w:tcW w:w="1985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(4)</w:t>
            </w:r>
          </w:p>
        </w:tc>
        <w:tc>
          <w:tcPr>
            <w:tcW w:w="1842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(5)</w:t>
            </w:r>
          </w:p>
        </w:tc>
        <w:tc>
          <w:tcPr>
            <w:tcW w:w="1985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(6)</w:t>
            </w:r>
          </w:p>
        </w:tc>
        <w:tc>
          <w:tcPr>
            <w:tcW w:w="2410" w:type="dxa"/>
            <w:vAlign w:val="center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(7)=(6)/(5)</w:t>
            </w:r>
          </w:p>
        </w:tc>
      </w:tr>
      <w:tr w:rsidR="00EA76F5" w:rsidRPr="00E66F0C" w:rsidTr="00714388">
        <w:trPr>
          <w:jc w:val="center"/>
        </w:trPr>
        <w:tc>
          <w:tcPr>
            <w:tcW w:w="1680" w:type="dxa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sz w:val="20"/>
                <w:szCs w:val="20"/>
              </w:rPr>
              <w:t>Merateľný ukazovateľ n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20"/>
            </w:r>
          </w:p>
        </w:tc>
        <w:tc>
          <w:tcPr>
            <w:tcW w:w="2397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5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2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5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A76F5" w:rsidRPr="00E66F0C" w:rsidTr="00714388">
        <w:trPr>
          <w:jc w:val="center"/>
        </w:trPr>
        <w:tc>
          <w:tcPr>
            <w:tcW w:w="1680" w:type="dxa"/>
          </w:tcPr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sz w:val="20"/>
                <w:szCs w:val="20"/>
              </w:rPr>
              <w:t>Poznámky k merateľnému</w:t>
            </w:r>
          </w:p>
          <w:p w:rsidR="00EA76F5" w:rsidRPr="00E66F0C" w:rsidRDefault="00EA76F5" w:rsidP="00A7418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sz w:val="20"/>
                <w:szCs w:val="20"/>
              </w:rPr>
              <w:t>ukazovateľu n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21"/>
            </w:r>
          </w:p>
        </w:tc>
        <w:tc>
          <w:tcPr>
            <w:tcW w:w="12462" w:type="dxa"/>
            <w:gridSpan w:val="6"/>
          </w:tcPr>
          <w:p w:rsidR="00EA76F5" w:rsidRPr="00E66F0C" w:rsidRDefault="00EA76F5" w:rsidP="00A741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EA76F5" w:rsidRPr="005E51A4" w:rsidRDefault="00EA76F5" w:rsidP="00EA76F5">
      <w:pPr>
        <w:rPr>
          <w:b/>
        </w:rPr>
      </w:pPr>
    </w:p>
    <w:tbl>
      <w:tblPr>
        <w:tblW w:w="49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41"/>
      </w:tblGrid>
      <w:tr w:rsidR="00EA76F5" w:rsidRPr="005E51A4" w:rsidTr="00FE7AE1">
        <w:tc>
          <w:tcPr>
            <w:tcW w:w="5000" w:type="pct"/>
            <w:shd w:val="clear" w:color="auto" w:fill="67B346"/>
          </w:tcPr>
          <w:p w:rsidR="00EA76F5" w:rsidRPr="005E51A4" w:rsidRDefault="00FE7AE1" w:rsidP="00BC0164">
            <w:pPr>
              <w:rPr>
                <w:b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 w:rsidR="00EA76F5" w:rsidRPr="00FE7AE1">
              <w:rPr>
                <w:rFonts w:ascii="Century Gothic" w:hAnsi="Century Gothic"/>
                <w:b/>
                <w:sz w:val="20"/>
                <w:szCs w:val="20"/>
              </w:rPr>
              <w:t xml:space="preserve">. </w:t>
            </w:r>
            <w:r w:rsidR="00EA76F5" w:rsidRPr="00FE7AE1">
              <w:rPr>
                <w:rFonts w:ascii="Century Gothic" w:hAnsi="Century Gothic"/>
                <w:b/>
                <w:sz w:val="20"/>
                <w:szCs w:val="20"/>
                <w:shd w:val="clear" w:color="auto" w:fill="67B346"/>
              </w:rPr>
              <w:t>Identifikované problémy, riziká a ďalšie informácie v súvislosti s realizáciou projektu</w:t>
            </w:r>
            <w:r w:rsidR="00EA76F5" w:rsidRPr="00FE7AE1">
              <w:rPr>
                <w:rFonts w:ascii="Century Gothic" w:hAnsi="Century Gothic"/>
                <w:sz w:val="20"/>
                <w:szCs w:val="20"/>
                <w:shd w:val="clear" w:color="auto" w:fill="67B346"/>
                <w:vertAlign w:val="superscript"/>
              </w:rPr>
              <w:footnoteReference w:id="22"/>
            </w:r>
          </w:p>
        </w:tc>
      </w:tr>
      <w:tr w:rsidR="00EA76F5" w:rsidRPr="005E51A4" w:rsidTr="00A74189">
        <w:tc>
          <w:tcPr>
            <w:tcW w:w="5000" w:type="pct"/>
          </w:tcPr>
          <w:p w:rsidR="00EA76F5" w:rsidRPr="005E51A4" w:rsidRDefault="00EA76F5" w:rsidP="00A74189">
            <w:pPr>
              <w:rPr>
                <w:b/>
              </w:rPr>
            </w:pPr>
          </w:p>
        </w:tc>
      </w:tr>
    </w:tbl>
    <w:p w:rsidR="00EA76F5" w:rsidRDefault="00EA76F5" w:rsidP="00EA76F5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69"/>
        <w:gridCol w:w="10773"/>
      </w:tblGrid>
      <w:tr w:rsidR="0038281A" w:rsidRPr="00E66F0C" w:rsidTr="0018210F">
        <w:tc>
          <w:tcPr>
            <w:tcW w:w="14142" w:type="dxa"/>
            <w:gridSpan w:val="2"/>
            <w:shd w:val="clear" w:color="auto" w:fill="67B346"/>
          </w:tcPr>
          <w:p w:rsidR="0038281A" w:rsidRPr="0054692C" w:rsidRDefault="0038281A" w:rsidP="0018210F">
            <w:pPr>
              <w:ind w:left="360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5. Plán aktivít v nasledujúcom štvrťroku</w:t>
            </w:r>
          </w:p>
        </w:tc>
      </w:tr>
      <w:tr w:rsidR="0038281A" w:rsidRPr="00E66F0C" w:rsidTr="0018210F">
        <w:tc>
          <w:tcPr>
            <w:tcW w:w="3369" w:type="dxa"/>
            <w:shd w:val="clear" w:color="auto" w:fill="D9D9D9" w:themeFill="background1" w:themeFillShade="D9"/>
          </w:tcPr>
          <w:p w:rsidR="0038281A" w:rsidRPr="00E66F0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Aktivita projektu</w:t>
            </w:r>
          </w:p>
        </w:tc>
        <w:tc>
          <w:tcPr>
            <w:tcW w:w="10773" w:type="dxa"/>
            <w:shd w:val="clear" w:color="auto" w:fill="D9D9D9" w:themeFill="background1" w:themeFillShade="D9"/>
          </w:tcPr>
          <w:p w:rsidR="0038281A" w:rsidRPr="0054692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54692C">
              <w:rPr>
                <w:rFonts w:ascii="Century Gothic" w:hAnsi="Century Gothic"/>
                <w:b/>
                <w:sz w:val="20"/>
                <w:szCs w:val="20"/>
              </w:rPr>
              <w:t xml:space="preserve">Plánované </w:t>
            </w:r>
            <w:proofErr w:type="spellStart"/>
            <w:r w:rsidRPr="0054692C">
              <w:rPr>
                <w:rFonts w:ascii="Century Gothic" w:hAnsi="Century Gothic"/>
                <w:b/>
                <w:sz w:val="20"/>
                <w:szCs w:val="20"/>
              </w:rPr>
              <w:t>podaktivity</w:t>
            </w:r>
            <w:proofErr w:type="spellEnd"/>
            <w:r w:rsidRPr="0054692C">
              <w:rPr>
                <w:rFonts w:ascii="Century Gothic" w:hAnsi="Century Gothic"/>
                <w:b/>
                <w:sz w:val="20"/>
                <w:szCs w:val="20"/>
              </w:rPr>
              <w:t>, činnosti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23"/>
            </w:r>
          </w:p>
        </w:tc>
      </w:tr>
      <w:tr w:rsidR="0038281A" w:rsidRPr="00E66F0C" w:rsidTr="0018210F">
        <w:tc>
          <w:tcPr>
            <w:tcW w:w="3369" w:type="dxa"/>
            <w:shd w:val="clear" w:color="auto" w:fill="D9D9D9" w:themeFill="background1" w:themeFillShade="D9"/>
          </w:tcPr>
          <w:p w:rsidR="0038281A" w:rsidRPr="00E66F0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38281A" w:rsidRPr="00E66F0C" w:rsidRDefault="0038281A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8281A" w:rsidRPr="00E66F0C" w:rsidTr="0018210F">
        <w:tc>
          <w:tcPr>
            <w:tcW w:w="3369" w:type="dxa"/>
            <w:shd w:val="clear" w:color="auto" w:fill="D9D9D9" w:themeFill="background1" w:themeFillShade="D9"/>
          </w:tcPr>
          <w:p w:rsidR="0038281A" w:rsidRPr="00E66F0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38281A" w:rsidRPr="00E66F0C" w:rsidRDefault="0038281A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8281A" w:rsidRPr="00E66F0C" w:rsidTr="0018210F">
        <w:tc>
          <w:tcPr>
            <w:tcW w:w="3369" w:type="dxa"/>
            <w:shd w:val="clear" w:color="auto" w:fill="D9D9D9" w:themeFill="background1" w:themeFillShade="D9"/>
          </w:tcPr>
          <w:p w:rsidR="0038281A" w:rsidRPr="00E66F0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38281A" w:rsidRPr="00E66F0C" w:rsidRDefault="0038281A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8281A" w:rsidRPr="00E66F0C" w:rsidTr="0018210F">
        <w:tc>
          <w:tcPr>
            <w:tcW w:w="3369" w:type="dxa"/>
            <w:shd w:val="clear" w:color="auto" w:fill="D9D9D9" w:themeFill="background1" w:themeFillShade="D9"/>
          </w:tcPr>
          <w:p w:rsidR="0038281A" w:rsidRPr="00E66F0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38281A" w:rsidRPr="00E66F0C" w:rsidRDefault="0038281A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8281A" w:rsidRPr="00E66F0C" w:rsidTr="0018210F">
        <w:tc>
          <w:tcPr>
            <w:tcW w:w="3369" w:type="dxa"/>
            <w:shd w:val="clear" w:color="auto" w:fill="D9D9D9" w:themeFill="background1" w:themeFillShade="D9"/>
          </w:tcPr>
          <w:p w:rsidR="0038281A" w:rsidRPr="00E66F0C" w:rsidRDefault="0038281A" w:rsidP="0018210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773" w:type="dxa"/>
          </w:tcPr>
          <w:p w:rsidR="0038281A" w:rsidRPr="00E66F0C" w:rsidRDefault="0038281A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38281A" w:rsidRPr="005E51A4" w:rsidRDefault="0038281A" w:rsidP="00EA76F5"/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1711"/>
        <w:gridCol w:w="2397"/>
        <w:gridCol w:w="1843"/>
        <w:gridCol w:w="1985"/>
        <w:gridCol w:w="1842"/>
        <w:gridCol w:w="1985"/>
        <w:gridCol w:w="2410"/>
      </w:tblGrid>
      <w:tr w:rsidR="00813586" w:rsidRPr="00E66F0C" w:rsidTr="0018210F">
        <w:trPr>
          <w:jc w:val="center"/>
        </w:trPr>
        <w:tc>
          <w:tcPr>
            <w:tcW w:w="14142" w:type="dxa"/>
            <w:gridSpan w:val="7"/>
            <w:shd w:val="clear" w:color="auto" w:fill="67B346"/>
          </w:tcPr>
          <w:p w:rsidR="00813586" w:rsidRPr="00E66F0C" w:rsidRDefault="0038281A" w:rsidP="008135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6.</w:t>
            </w:r>
            <w:r w:rsidR="00813586" w:rsidRPr="00E66F0C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813586">
              <w:rPr>
                <w:rFonts w:ascii="Century Gothic" w:hAnsi="Century Gothic"/>
                <w:b/>
                <w:sz w:val="20"/>
                <w:szCs w:val="20"/>
              </w:rPr>
              <w:t>Odhad očakávaných výdavkov</w:t>
            </w:r>
            <w:r w:rsidR="00813586"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24"/>
            </w:r>
          </w:p>
        </w:tc>
      </w:tr>
      <w:tr w:rsidR="00813586" w:rsidRPr="00E66F0C" w:rsidTr="0018210F">
        <w:trPr>
          <w:trHeight w:val="1012"/>
          <w:jc w:val="center"/>
        </w:trPr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Mesiac n RRRR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Mesiac n+1 RRRR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Mesiac n + 2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footnoteReference w:id="25"/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RRRR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Spolu ... n štvrťrok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Odhad štvrťrok n+1</w:t>
            </w:r>
            <w:r w:rsidRPr="00E66F0C">
              <w:rPr>
                <w:rFonts w:ascii="Century Gothic" w:hAnsi="Century Gothic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Odhad štvrťrok n+2</w:t>
            </w:r>
          </w:p>
        </w:tc>
      </w:tr>
      <w:tr w:rsidR="00813586" w:rsidRPr="00E66F0C" w:rsidTr="0018210F">
        <w:trPr>
          <w:jc w:val="center"/>
        </w:trPr>
        <w:tc>
          <w:tcPr>
            <w:tcW w:w="1680" w:type="dxa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(1)</w:t>
            </w:r>
          </w:p>
        </w:tc>
        <w:tc>
          <w:tcPr>
            <w:tcW w:w="2397" w:type="dxa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(2)</w:t>
            </w:r>
          </w:p>
        </w:tc>
        <w:tc>
          <w:tcPr>
            <w:tcW w:w="1843" w:type="dxa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(3)</w:t>
            </w:r>
          </w:p>
        </w:tc>
        <w:tc>
          <w:tcPr>
            <w:tcW w:w="1985" w:type="dxa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(4)</w:t>
            </w:r>
          </w:p>
        </w:tc>
        <w:tc>
          <w:tcPr>
            <w:tcW w:w="1842" w:type="dxa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(5)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= (2)+(3)+(4)</w:t>
            </w:r>
          </w:p>
        </w:tc>
        <w:tc>
          <w:tcPr>
            <w:tcW w:w="1985" w:type="dxa"/>
            <w:vAlign w:val="center"/>
          </w:tcPr>
          <w:p w:rsidR="00813586" w:rsidRPr="00E66F0C" w:rsidRDefault="00813586" w:rsidP="0018210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(6)</w:t>
            </w:r>
          </w:p>
        </w:tc>
        <w:tc>
          <w:tcPr>
            <w:tcW w:w="2410" w:type="dxa"/>
            <w:vAlign w:val="center"/>
          </w:tcPr>
          <w:p w:rsidR="00813586" w:rsidRPr="00E66F0C" w:rsidRDefault="00813586" w:rsidP="0081358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66F0C">
              <w:rPr>
                <w:rFonts w:ascii="Century Gothic" w:hAnsi="Century Gothic"/>
                <w:b/>
                <w:sz w:val="20"/>
                <w:szCs w:val="20"/>
              </w:rPr>
              <w:t>(7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)</w:t>
            </w:r>
          </w:p>
        </w:tc>
      </w:tr>
      <w:tr w:rsidR="00813586" w:rsidRPr="00E66F0C" w:rsidTr="0018210F">
        <w:trPr>
          <w:jc w:val="center"/>
        </w:trPr>
        <w:tc>
          <w:tcPr>
            <w:tcW w:w="1680" w:type="dxa"/>
          </w:tcPr>
          <w:p w:rsidR="00813586" w:rsidRDefault="00813586" w:rsidP="0018210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13586">
              <w:rPr>
                <w:rFonts w:ascii="Century Gothic" w:hAnsi="Century Gothic"/>
                <w:sz w:val="20"/>
                <w:szCs w:val="20"/>
              </w:rPr>
              <w:t xml:space="preserve">Odhad oprávnených výdavkov predkladaných v rámci </w:t>
            </w:r>
            <w:proofErr w:type="spellStart"/>
            <w:r w:rsidRPr="00813586">
              <w:rPr>
                <w:rFonts w:ascii="Century Gothic" w:hAnsi="Century Gothic"/>
                <w:sz w:val="20"/>
                <w:szCs w:val="20"/>
              </w:rPr>
              <w:t>ŽoP</w:t>
            </w:r>
            <w:proofErr w:type="spellEnd"/>
          </w:p>
          <w:p w:rsidR="00813586" w:rsidRPr="00813586" w:rsidRDefault="00813586" w:rsidP="0018210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(v EUR, zdroj EÚ + ŠR)</w:t>
            </w:r>
          </w:p>
        </w:tc>
        <w:tc>
          <w:tcPr>
            <w:tcW w:w="2397" w:type="dxa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3" w:type="dxa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5" w:type="dxa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2" w:type="dxa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5" w:type="dxa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13586" w:rsidRPr="00E66F0C" w:rsidTr="0018210F">
        <w:trPr>
          <w:jc w:val="center"/>
        </w:trPr>
        <w:tc>
          <w:tcPr>
            <w:tcW w:w="1680" w:type="dxa"/>
          </w:tcPr>
          <w:p w:rsidR="00813586" w:rsidRPr="00E66F0C" w:rsidRDefault="00813586" w:rsidP="008135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6F0C">
              <w:rPr>
                <w:rFonts w:ascii="Century Gothic" w:hAnsi="Century Gothic"/>
                <w:sz w:val="20"/>
                <w:szCs w:val="20"/>
              </w:rPr>
              <w:t xml:space="preserve">Poznámky </w:t>
            </w:r>
          </w:p>
          <w:p w:rsidR="00813586" w:rsidRPr="00E66F0C" w:rsidRDefault="00813586" w:rsidP="0018210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62" w:type="dxa"/>
            <w:gridSpan w:val="6"/>
          </w:tcPr>
          <w:p w:rsidR="00813586" w:rsidRPr="00E66F0C" w:rsidRDefault="00813586" w:rsidP="0018210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EA76F5" w:rsidRDefault="00EA76F5" w:rsidP="0004107F">
      <w:pPr>
        <w:jc w:val="center"/>
        <w:rPr>
          <w:sz w:val="20"/>
          <w:szCs w:val="20"/>
        </w:rPr>
      </w:pPr>
    </w:p>
    <w:p w:rsidR="0054692C" w:rsidRPr="006479DF" w:rsidRDefault="0054692C" w:rsidP="0004107F">
      <w:pPr>
        <w:jc w:val="center"/>
        <w:rPr>
          <w:sz w:val="20"/>
          <w:szCs w:val="20"/>
        </w:rPr>
      </w:pPr>
    </w:p>
    <w:sectPr w:rsidR="0054692C" w:rsidRPr="006479DF" w:rsidSect="00714388">
      <w:headerReference w:type="default" r:id="rId13"/>
      <w:headerReference w:type="first" r:id="rId14"/>
      <w:footerReference w:type="first" r:id="rId15"/>
      <w:pgSz w:w="16838" w:h="11906" w:orient="landscape" w:code="9"/>
      <w:pgMar w:top="992" w:right="1418" w:bottom="1418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9AA" w:rsidRDefault="00E109AA" w:rsidP="00B948E0">
      <w:r>
        <w:separator/>
      </w:r>
    </w:p>
  </w:endnote>
  <w:endnote w:type="continuationSeparator" w:id="0">
    <w:p w:rsidR="00E109AA" w:rsidRDefault="00E109A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7F" w:rsidRPr="0004107F" w:rsidRDefault="0004107F" w:rsidP="0004107F">
    <w:pPr>
      <w:tabs>
        <w:tab w:val="center" w:pos="4536"/>
        <w:tab w:val="right" w:pos="9072"/>
      </w:tabs>
      <w:jc w:val="right"/>
    </w:pPr>
  </w:p>
  <w:p w:rsidR="0004107F" w:rsidRPr="00FE7AE1" w:rsidRDefault="0004107F" w:rsidP="0004107F">
    <w:pPr>
      <w:tabs>
        <w:tab w:val="center" w:pos="4536"/>
        <w:tab w:val="right" w:pos="9072"/>
      </w:tabs>
      <w:jc w:val="right"/>
      <w:rPr>
        <w:rFonts w:ascii="Century Gothic" w:hAnsi="Century Gothic"/>
        <w:sz w:val="20"/>
        <w:szCs w:val="20"/>
      </w:rPr>
    </w:pPr>
    <w:r w:rsidRPr="00FE7AE1">
      <w:rPr>
        <w:rFonts w:ascii="Century Gothic" w:hAnsi="Century Gothic"/>
        <w:sz w:val="20"/>
        <w:szCs w:val="20"/>
      </w:rPr>
      <w:t xml:space="preserve">Strana </w:t>
    </w:r>
    <w:sdt>
      <w:sdtPr>
        <w:rPr>
          <w:rFonts w:ascii="Century Gothic" w:hAnsi="Century Gothic"/>
          <w:sz w:val="20"/>
          <w:szCs w:val="20"/>
        </w:rPr>
        <w:id w:val="320479949"/>
        <w:docPartObj>
          <w:docPartGallery w:val="Page Numbers (Bottom of Page)"/>
          <w:docPartUnique/>
        </w:docPartObj>
      </w:sdtPr>
      <w:sdtEndPr/>
      <w:sdtContent>
        <w:r w:rsidR="00986DBC" w:rsidRPr="00FE7AE1">
          <w:rPr>
            <w:rFonts w:ascii="Century Gothic" w:hAnsi="Century Gothic"/>
            <w:sz w:val="20"/>
            <w:szCs w:val="20"/>
          </w:rPr>
          <w:fldChar w:fldCharType="begin"/>
        </w:r>
        <w:r w:rsidRPr="00FE7AE1">
          <w:rPr>
            <w:rFonts w:ascii="Century Gothic" w:hAnsi="Century Gothic"/>
            <w:sz w:val="20"/>
            <w:szCs w:val="20"/>
          </w:rPr>
          <w:instrText>PAGE   \* MERGEFORMAT</w:instrText>
        </w:r>
        <w:r w:rsidR="00986DBC" w:rsidRPr="00FE7AE1">
          <w:rPr>
            <w:rFonts w:ascii="Century Gothic" w:hAnsi="Century Gothic"/>
            <w:sz w:val="20"/>
            <w:szCs w:val="20"/>
          </w:rPr>
          <w:fldChar w:fldCharType="separate"/>
        </w:r>
        <w:r w:rsidR="0052000A">
          <w:rPr>
            <w:rFonts w:ascii="Century Gothic" w:hAnsi="Century Gothic"/>
            <w:noProof/>
            <w:sz w:val="20"/>
            <w:szCs w:val="20"/>
          </w:rPr>
          <w:t>1</w:t>
        </w:r>
        <w:r w:rsidR="00986DBC" w:rsidRPr="00FE7AE1">
          <w:rPr>
            <w:rFonts w:ascii="Century Gothic" w:hAnsi="Century Gothic"/>
            <w:sz w:val="20"/>
            <w:szCs w:val="20"/>
          </w:rPr>
          <w:fldChar w:fldCharType="end"/>
        </w:r>
      </w:sdtContent>
    </w:sdt>
  </w:p>
  <w:p w:rsidR="004D0F36" w:rsidRDefault="004D0F3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9AA" w:rsidRDefault="00E109AA" w:rsidP="00B948E0">
      <w:r>
        <w:separator/>
      </w:r>
    </w:p>
  </w:footnote>
  <w:footnote w:type="continuationSeparator" w:id="0">
    <w:p w:rsidR="00E109AA" w:rsidRDefault="00E109AA" w:rsidP="00B948E0">
      <w:r>
        <w:continuationSeparator/>
      </w:r>
    </w:p>
  </w:footnote>
  <w:footnote w:id="1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Prijímateľ predkladá predmetnú prílohu v prípade, ak nepredložil žiadnu žiadosť o platbu -  zúčtovanie zálohovej platby, priebežnú platbu a poskytnutie predfinancovania do šiestich mesiacov od nadobudnutia účinnosti zmluvy o poskytnutí NFP a zároveň ešte neboli naplnené podmienky na zaslanie monitorovacej správy projektu (s príznakom </w:t>
      </w:r>
      <w:r w:rsidR="00266185" w:rsidRPr="00440227">
        <w:rPr>
          <w:szCs w:val="16"/>
        </w:rPr>
        <w:t>„</w:t>
      </w:r>
      <w:r w:rsidRPr="00440227">
        <w:rPr>
          <w:szCs w:val="16"/>
        </w:rPr>
        <w:t>výročná“),</w:t>
      </w:r>
      <w:r w:rsidR="00831D2B">
        <w:rPr>
          <w:szCs w:val="16"/>
        </w:rPr>
        <w:t xml:space="preserve"> v zmysle Príručky</w:t>
      </w:r>
      <w:r w:rsidRPr="00440227">
        <w:rPr>
          <w:szCs w:val="16"/>
        </w:rPr>
        <w:t xml:space="preserve"> príp. ak </w:t>
      </w:r>
      <w:r w:rsidR="00725C2C" w:rsidRPr="00440227">
        <w:rPr>
          <w:szCs w:val="16"/>
        </w:rPr>
        <w:t>Poskytovateľ</w:t>
      </w:r>
      <w:r w:rsidRPr="00440227">
        <w:rPr>
          <w:szCs w:val="16"/>
        </w:rPr>
        <w:t xml:space="preserve"> o takéto informácie požiada. </w:t>
      </w:r>
      <w:r w:rsidR="00813586" w:rsidRPr="00440227">
        <w:rPr>
          <w:szCs w:val="16"/>
        </w:rPr>
        <w:t>Poskytovateľ identifikuje štruktúru povinných údajov vo svojej požiadavke.</w:t>
      </w:r>
    </w:p>
  </w:footnote>
  <w:footnote w:id="2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Vypĺňané automaticky ITMS2014+. </w:t>
      </w:r>
    </w:p>
  </w:footnote>
  <w:footnote w:id="3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Uvádzajú sa kódy a názvy merateľných ukazovateľov vo vzťahu k daným hlavným aktivitám v zmysle zmluvy o poskytnutí nenávratného finančného príspevku.</w:t>
      </w:r>
    </w:p>
  </w:footnote>
  <w:footnote w:id="4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 sa relevancia merateľného ukazovateľa k horizontálnemu princípu v zmysle zmluvy o poskytnutí nenávratného finančného príspevku.</w:t>
      </w:r>
    </w:p>
  </w:footnote>
  <w:footnote w:id="5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 sa informácia, či ide o merateľný ukazovateľ s príznakom alebo bez príznaku v zmysle zmluvy o poskytnutí nenávratného finančného príspevku.</w:t>
      </w:r>
    </w:p>
  </w:footnote>
  <w:footnote w:id="6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 sa merná jednotka v zmysle zmluvy o poskytnutí nenávratného finančného príspevku.</w:t>
      </w:r>
    </w:p>
  </w:footnote>
  <w:footnote w:id="7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="00266185" w:rsidRPr="00440227">
        <w:rPr>
          <w:szCs w:val="16"/>
        </w:rPr>
        <w:t xml:space="preserve"> </w:t>
      </w:r>
      <w:r w:rsidRPr="00440227">
        <w:rPr>
          <w:szCs w:val="16"/>
        </w:rPr>
        <w:t xml:space="preserve">Vypĺňané automaticky ITMS2014+. Uvádza sa plánovaný stav merateľného ukazovateľa v zmysle zmluvy o poskytnutí nenávratného finančného príspevku. </w:t>
      </w:r>
    </w:p>
  </w:footnote>
  <w:footnote w:id="8">
    <w:p w:rsidR="00EA76F5" w:rsidRPr="00440227" w:rsidRDefault="00EA76F5" w:rsidP="00725C2C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Uvádza sa kumulatívna hodnota merateľného ukazovateľa nameraná vo vzťahu k aktivite projektu ku dňu uplynutia šesťmesačnej lehoty, t.j. súhrnná hodnota od začiatku realizácie projektu do uplynutia šesťmesačnej lehoty, príp. do času, ktorý určí </w:t>
      </w:r>
      <w:r w:rsidR="00725C2C" w:rsidRPr="00440227">
        <w:rPr>
          <w:szCs w:val="16"/>
        </w:rPr>
        <w:t>Poskytovateľ</w:t>
      </w:r>
      <w:r w:rsidRPr="00440227">
        <w:rPr>
          <w:szCs w:val="16"/>
        </w:rPr>
        <w:t xml:space="preserve">. </w:t>
      </w:r>
    </w:p>
  </w:footnote>
  <w:footnote w:id="9">
    <w:p w:rsidR="00EA76F5" w:rsidRPr="00440227" w:rsidRDefault="00EA76F5" w:rsidP="00714388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Pomer skutočného stavu (stĺpe</w:t>
      </w:r>
      <w:r w:rsidR="00725D56" w:rsidRPr="00440227">
        <w:rPr>
          <w:szCs w:val="16"/>
        </w:rPr>
        <w:t>c</w:t>
      </w:r>
      <w:r w:rsidRPr="00440227">
        <w:rPr>
          <w:szCs w:val="16"/>
        </w:rPr>
        <w:t xml:space="preserve"> č. 7) k plánovanému stavu (stĺpec č. 6) merateľného ukazovateľa aktivity projektu v percentuálnom vyjadrení.</w:t>
      </w:r>
    </w:p>
  </w:footnote>
  <w:footnote w:id="10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Vypĺňané automaticky ITMS 2014+. Uvádzajú sa postupne všetky hlavné aktivity v zmysle zmluvy o poskytnutí nenávratného finančného príspevku. V prípade, ak aktivita prispieva k napĺňaniu viacerých merateľných ukazovateľov uvedie sa viackrát tá istá aktivita. </w:t>
      </w:r>
    </w:p>
  </w:footnote>
  <w:footnote w:id="11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Prijímateľ uvedie stručný popis priebehu a pokroku aktivity za obdobie od začiatku realizácie aktivít projektu ku dňu uplynutia šesťmesačnej lehoty, resp. do času, ktorý určí </w:t>
      </w:r>
      <w:r w:rsidR="00725C2C" w:rsidRPr="00440227">
        <w:rPr>
          <w:szCs w:val="16"/>
        </w:rPr>
        <w:t>Poskytovateľ</w:t>
      </w:r>
      <w:r w:rsidRPr="00440227">
        <w:rPr>
          <w:szCs w:val="16"/>
        </w:rPr>
        <w:t>, popis zapojenia partnerov projektu (ak relevantné), popis prípadných zmien počas realizácie aktivít a taktiež prípadné problémy s predmetnou aktivitou a opatrenia prijaté na elimináciu týchto problémov.</w:t>
      </w:r>
    </w:p>
  </w:footnote>
  <w:footnote w:id="12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Uvádzajú sa údaje od začiatku realizácie projektu ku dňu uplynutia šesťmesačnej lehoty, resp. do času, ktorý určí </w:t>
      </w:r>
      <w:r w:rsidR="00725C2C" w:rsidRPr="00440227">
        <w:rPr>
          <w:szCs w:val="16"/>
        </w:rPr>
        <w:t>Poskytovateľ</w:t>
      </w:r>
      <w:r w:rsidRPr="00440227">
        <w:rPr>
          <w:szCs w:val="16"/>
        </w:rPr>
        <w:t xml:space="preserve">. </w:t>
      </w:r>
    </w:p>
  </w:footnote>
  <w:footnote w:id="13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Uvádzajú sa kódy a názvy merateľných ukazovateľov v zmysle zmluvy o poskytnutí nenávratného finančného príspevku.</w:t>
      </w:r>
    </w:p>
  </w:footnote>
  <w:footnote w:id="14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 sa relevancia merateľného ukazovateľa k horizontálnemu princípu v zmysle zmluvy o poskytnutí nenávratného finančného príspevku.</w:t>
      </w:r>
    </w:p>
  </w:footnote>
  <w:footnote w:id="15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 sa informácia, či ide o merateľný ukazovateľ s príznakom alebo bez príznaku v zmysle zmluvy o poskytnutí nenávratného finančného príspevku.</w:t>
      </w:r>
    </w:p>
  </w:footnote>
  <w:footnote w:id="16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 sa merná jednotka v zmysle zmluvy o poskytnutí nenávratného finančného príspevku.</w:t>
      </w:r>
    </w:p>
  </w:footnote>
  <w:footnote w:id="17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="00266185" w:rsidRPr="00440227">
        <w:rPr>
          <w:szCs w:val="16"/>
        </w:rPr>
        <w:t xml:space="preserve"> </w:t>
      </w:r>
      <w:r w:rsidRPr="00440227">
        <w:rPr>
          <w:szCs w:val="16"/>
        </w:rPr>
        <w:t xml:space="preserve">Vypĺňané automaticky ITMS2014+. Uvádza sa plánovaný stav merateľných ukazovateľov v zmysle zmluvy o poskytnutí nenávratného finančného príspevku. </w:t>
      </w:r>
    </w:p>
  </w:footnote>
  <w:footnote w:id="18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Uvádza sa kumulatívna hodnota merateľného ukazovateľa nameraná ku dňu uplynutia šesťmesačnej lehoty, t.j. súhrnná hodnota od začiatku realizácie projektu do uplynutia šesťmesačnej lehoty, príp. do času, ktorý určí </w:t>
      </w:r>
      <w:r w:rsidR="00725C2C" w:rsidRPr="00440227">
        <w:rPr>
          <w:szCs w:val="16"/>
        </w:rPr>
        <w:t>Poskytovateľ</w:t>
      </w:r>
      <w:r w:rsidRPr="00440227">
        <w:rPr>
          <w:szCs w:val="16"/>
        </w:rPr>
        <w:t>.</w:t>
      </w:r>
    </w:p>
  </w:footnote>
  <w:footnote w:id="19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Pomer skutočného stavu (stĺpe</w:t>
      </w:r>
      <w:r w:rsidR="00725D56" w:rsidRPr="00440227">
        <w:rPr>
          <w:szCs w:val="16"/>
        </w:rPr>
        <w:t>c</w:t>
      </w:r>
      <w:r w:rsidRPr="00440227">
        <w:rPr>
          <w:szCs w:val="16"/>
        </w:rPr>
        <w:t xml:space="preserve"> č. 6) k plánovanému stavu (stĺpec č. 5) merateľného ukazovateľa aktivity projektu v percentuálnom vyjadrení.</w:t>
      </w:r>
    </w:p>
  </w:footnote>
  <w:footnote w:id="20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Vypĺňané automaticky ITMS2014+. Uvádzajú sa postupne všetky merateľné ukazovatele v zmysle zmluvy o poskytnutí nenávratného finančného príspevku.</w:t>
      </w:r>
    </w:p>
  </w:footnote>
  <w:footnote w:id="21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Prijímateľ uvedie stručný popis priebehu a pokroku napĺňania merateľných ukazovateľov od začiatku realizácie projektu ku dňu uplynutia šesťmesačnej lehoty, príp. do času, ktorý určí </w:t>
      </w:r>
      <w:r w:rsidR="00BC0164" w:rsidRPr="00440227">
        <w:rPr>
          <w:szCs w:val="16"/>
        </w:rPr>
        <w:t>Poskytovateľ</w:t>
      </w:r>
      <w:r w:rsidRPr="00440227">
        <w:rPr>
          <w:szCs w:val="16"/>
        </w:rPr>
        <w:t>.</w:t>
      </w:r>
    </w:p>
  </w:footnote>
  <w:footnote w:id="22">
    <w:p w:rsidR="00EA76F5" w:rsidRPr="00440227" w:rsidRDefault="00EA76F5" w:rsidP="00EA76F5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Prijímateľ stručne uvedie informácie o prípadných skutočnostiach, ktoré ohrozujú realizáciu projektu, resp. majú alebo môžu mať vplyv na plnenie povinností vyplývajúcich zo zmluvy o poskytnutí nenávratného finančného príspevku, ďalej o rizikách, ktoré vznikli v súvislosti s realizáciou projektu a opatreniach prijatých na ich elimináciu a iných údajoch týkajúcich sa realizácie projektu</w:t>
      </w:r>
      <w:r w:rsidR="00BC0164" w:rsidRPr="00440227">
        <w:rPr>
          <w:szCs w:val="16"/>
        </w:rPr>
        <w:t xml:space="preserve"> </w:t>
      </w:r>
      <w:r w:rsidRPr="00440227">
        <w:rPr>
          <w:szCs w:val="16"/>
        </w:rPr>
        <w:t>(</w:t>
      </w:r>
      <w:r w:rsidR="00BC0164" w:rsidRPr="00440227">
        <w:rPr>
          <w:szCs w:val="16"/>
        </w:rPr>
        <w:t>P</w:t>
      </w:r>
      <w:r w:rsidRPr="00440227">
        <w:rPr>
          <w:szCs w:val="16"/>
        </w:rPr>
        <w:t xml:space="preserve">rijímateľ vypĺňa v prípade, ak predmetné problémy sú prierezového charakteru vo vzťahu k viacerým aktivitám, príp. sa týkajú iných oblastí projektu ako je realizácia aktivít napr. environmentálne požiadavky </w:t>
      </w:r>
      <w:r w:rsidR="00BC0164" w:rsidRPr="00440227">
        <w:rPr>
          <w:szCs w:val="16"/>
        </w:rPr>
        <w:t>-</w:t>
      </w:r>
      <w:r w:rsidRPr="00440227">
        <w:rPr>
          <w:szCs w:val="16"/>
        </w:rPr>
        <w:t xml:space="preserve"> EIA, NATURA 2000).</w:t>
      </w:r>
    </w:p>
  </w:footnote>
  <w:footnote w:id="23">
    <w:p w:rsidR="0038281A" w:rsidRPr="00440227" w:rsidRDefault="0038281A" w:rsidP="0038281A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Uvedú sa údaje v štruktúre: popis činnosti, termín konania, miesto konania, predpokladaný počet účastníkov. V prípade pravidelne sa opakujúcich činností typu „Poradenstvo“ sa činnosti neuvádzajú do plánu aktivít.</w:t>
      </w:r>
    </w:p>
  </w:footnote>
  <w:footnote w:id="24">
    <w:p w:rsidR="00813586" w:rsidRPr="00440227" w:rsidRDefault="00813586" w:rsidP="00813586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 xml:space="preserve">Uvádzajú sa údaje oprávnených výdavkov Prijímateľa, ktoré plánuje predkladať v rámci žiadostí o platbu typu – priebežná, zúčtovanie zálohovej platby, zúčtovanie predfinancovania, záverečná. </w:t>
      </w:r>
    </w:p>
  </w:footnote>
  <w:footnote w:id="25">
    <w:p w:rsidR="00813586" w:rsidRPr="00440227" w:rsidRDefault="00813586" w:rsidP="00813586">
      <w:pPr>
        <w:pStyle w:val="Textpoznmkypodiarou"/>
        <w:jc w:val="both"/>
        <w:rPr>
          <w:szCs w:val="16"/>
        </w:rPr>
      </w:pPr>
      <w:r w:rsidRPr="00440227">
        <w:rPr>
          <w:rStyle w:val="Odkaznapoznmkupodiarou"/>
          <w:szCs w:val="16"/>
        </w:rPr>
        <w:footnoteRef/>
      </w:r>
      <w:r w:rsidRPr="00440227">
        <w:rPr>
          <w:szCs w:val="16"/>
        </w:rPr>
        <w:t xml:space="preserve"> </w:t>
      </w:r>
      <w:r w:rsidRPr="00440227">
        <w:rPr>
          <w:szCs w:val="16"/>
        </w:rPr>
        <w:t>Uvedenie sa príslušný mesiac štvrťroka napr. júl 201</w:t>
      </w:r>
      <w:r w:rsidR="0052000A">
        <w:rPr>
          <w:szCs w:val="16"/>
        </w:rPr>
        <w:t>8</w:t>
      </w:r>
      <w:r w:rsidRPr="00440227">
        <w:rPr>
          <w:szCs w:val="16"/>
        </w:rPr>
        <w:t>, august 201</w:t>
      </w:r>
      <w:r w:rsidR="0052000A">
        <w:rPr>
          <w:szCs w:val="16"/>
        </w:rPr>
        <w:t>8</w:t>
      </w:r>
      <w:r w:rsidRPr="00440227">
        <w:rPr>
          <w:szCs w:val="16"/>
        </w:rPr>
        <w:t>, september 201</w:t>
      </w:r>
      <w:r w:rsidR="0052000A">
        <w:rPr>
          <w:szCs w:val="16"/>
        </w:rPr>
        <w:t>8</w:t>
      </w:r>
      <w:r w:rsidRPr="00440227">
        <w:rPr>
          <w:szCs w:val="16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7F" w:rsidRPr="0004107F" w:rsidRDefault="0004107F" w:rsidP="0004107F">
    <w:pPr>
      <w:tabs>
        <w:tab w:val="center" w:pos="4536"/>
        <w:tab w:val="right" w:pos="9072"/>
      </w:tabs>
    </w:pPr>
  </w:p>
  <w:p w:rsidR="0004107F" w:rsidRPr="0004107F" w:rsidRDefault="0004107F" w:rsidP="0004107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20E" w:rsidRPr="003579E1" w:rsidRDefault="00C4420E">
    <w:pPr>
      <w:pStyle w:val="Hlavika"/>
      <w:rPr>
        <w:rFonts w:ascii="Century Gothic" w:hAnsi="Century Gothic"/>
        <w:sz w:val="20"/>
        <w:szCs w:val="20"/>
      </w:rPr>
    </w:pPr>
    <w:r w:rsidRPr="003579E1">
      <w:rPr>
        <w:rFonts w:ascii="Century Gothic" w:hAnsi="Century Gothic"/>
      </w:rPr>
      <w:tab/>
    </w:r>
    <w:r w:rsidRPr="003579E1">
      <w:rPr>
        <w:rFonts w:ascii="Century Gothic" w:hAnsi="Century Gothic"/>
      </w:rPr>
      <w:tab/>
    </w:r>
    <w:r w:rsidRPr="003579E1">
      <w:rPr>
        <w:rFonts w:ascii="Century Gothic" w:hAnsi="Century Gothic"/>
      </w:rPr>
      <w:tab/>
    </w:r>
    <w:r w:rsidRPr="003579E1">
      <w:rPr>
        <w:rFonts w:ascii="Century Gothic" w:hAnsi="Century Gothic"/>
      </w:rPr>
      <w:tab/>
    </w:r>
    <w:r w:rsidRPr="003579E1">
      <w:rPr>
        <w:rFonts w:ascii="Century Gothic" w:hAnsi="Century Gothic"/>
      </w:rPr>
      <w:tab/>
    </w:r>
    <w:r w:rsidRPr="003579E1">
      <w:rPr>
        <w:rFonts w:ascii="Century Gothic" w:hAnsi="Century Gothic"/>
      </w:rPr>
      <w:tab/>
    </w:r>
    <w:r w:rsidR="00823935">
      <w:rPr>
        <w:rFonts w:ascii="Century Gothic" w:hAnsi="Century Gothic"/>
      </w:rPr>
      <w:tab/>
    </w:r>
    <w:r w:rsidR="00823935">
      <w:rPr>
        <w:rFonts w:ascii="Century Gothic" w:hAnsi="Century Gothic"/>
      </w:rPr>
      <w:tab/>
    </w:r>
    <w:r w:rsidRPr="003579E1">
      <w:rPr>
        <w:rFonts w:ascii="Century Gothic" w:hAnsi="Century Gothic"/>
        <w:sz w:val="20"/>
        <w:szCs w:val="20"/>
      </w:rPr>
      <w:t xml:space="preserve">Príloha </w:t>
    </w:r>
    <w:r w:rsidR="003579E1" w:rsidRPr="003579E1">
      <w:rPr>
        <w:rFonts w:ascii="Century Gothic" w:hAnsi="Century Gothic"/>
        <w:sz w:val="20"/>
        <w:szCs w:val="20"/>
      </w:rPr>
      <w:t xml:space="preserve">č. </w:t>
    </w:r>
    <w:r w:rsidR="00823935">
      <w:rPr>
        <w:rFonts w:ascii="Century Gothic" w:hAnsi="Century Gothic"/>
        <w:sz w:val="20"/>
        <w:szCs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67D4C"/>
    <w:multiLevelType w:val="hybridMultilevel"/>
    <w:tmpl w:val="9E20DE4A"/>
    <w:lvl w:ilvl="0" w:tplc="7BE4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B50C47"/>
    <w:multiLevelType w:val="hybridMultilevel"/>
    <w:tmpl w:val="6B7874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5B4A3B"/>
    <w:multiLevelType w:val="hybridMultilevel"/>
    <w:tmpl w:val="2196FA48"/>
    <w:lvl w:ilvl="0" w:tplc="BB8214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E3260"/>
    <w:multiLevelType w:val="hybridMultilevel"/>
    <w:tmpl w:val="9E20DE4A"/>
    <w:lvl w:ilvl="0" w:tplc="7BE4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28AA"/>
    <w:rsid w:val="00013234"/>
    <w:rsid w:val="00027D84"/>
    <w:rsid w:val="000307EB"/>
    <w:rsid w:val="0004107F"/>
    <w:rsid w:val="00050728"/>
    <w:rsid w:val="000532CF"/>
    <w:rsid w:val="000540CE"/>
    <w:rsid w:val="000578BB"/>
    <w:rsid w:val="00066955"/>
    <w:rsid w:val="00071088"/>
    <w:rsid w:val="00071CD7"/>
    <w:rsid w:val="00081BD0"/>
    <w:rsid w:val="000B749F"/>
    <w:rsid w:val="000D298C"/>
    <w:rsid w:val="000D6B86"/>
    <w:rsid w:val="000E2AA4"/>
    <w:rsid w:val="001147BD"/>
    <w:rsid w:val="00116B38"/>
    <w:rsid w:val="00116F61"/>
    <w:rsid w:val="001456C1"/>
    <w:rsid w:val="0014641E"/>
    <w:rsid w:val="0015233E"/>
    <w:rsid w:val="001624E8"/>
    <w:rsid w:val="001660C6"/>
    <w:rsid w:val="001705B6"/>
    <w:rsid w:val="00173917"/>
    <w:rsid w:val="00180E50"/>
    <w:rsid w:val="00180EA1"/>
    <w:rsid w:val="00187228"/>
    <w:rsid w:val="001873B5"/>
    <w:rsid w:val="001B12DC"/>
    <w:rsid w:val="001B27DA"/>
    <w:rsid w:val="001B6E9F"/>
    <w:rsid w:val="001C34C0"/>
    <w:rsid w:val="001C513F"/>
    <w:rsid w:val="001D4B25"/>
    <w:rsid w:val="001E5462"/>
    <w:rsid w:val="001F0193"/>
    <w:rsid w:val="001F45B1"/>
    <w:rsid w:val="00216646"/>
    <w:rsid w:val="002235B5"/>
    <w:rsid w:val="002256E5"/>
    <w:rsid w:val="002259C4"/>
    <w:rsid w:val="00225A05"/>
    <w:rsid w:val="00246970"/>
    <w:rsid w:val="00256687"/>
    <w:rsid w:val="00266185"/>
    <w:rsid w:val="00274479"/>
    <w:rsid w:val="00282057"/>
    <w:rsid w:val="002A1E17"/>
    <w:rsid w:val="002B4095"/>
    <w:rsid w:val="002B7A90"/>
    <w:rsid w:val="002D0C7E"/>
    <w:rsid w:val="002D65BD"/>
    <w:rsid w:val="002E611C"/>
    <w:rsid w:val="002E7F32"/>
    <w:rsid w:val="002E7F66"/>
    <w:rsid w:val="00307063"/>
    <w:rsid w:val="00311B78"/>
    <w:rsid w:val="00314A6E"/>
    <w:rsid w:val="003215D7"/>
    <w:rsid w:val="003244EF"/>
    <w:rsid w:val="003364CC"/>
    <w:rsid w:val="00344DF9"/>
    <w:rsid w:val="00354308"/>
    <w:rsid w:val="00355D65"/>
    <w:rsid w:val="003579E1"/>
    <w:rsid w:val="0037670C"/>
    <w:rsid w:val="0038281A"/>
    <w:rsid w:val="00386CBA"/>
    <w:rsid w:val="003935E9"/>
    <w:rsid w:val="003A67E1"/>
    <w:rsid w:val="003B0DFE"/>
    <w:rsid w:val="003B2F8A"/>
    <w:rsid w:val="003B61C8"/>
    <w:rsid w:val="003C2544"/>
    <w:rsid w:val="003D0894"/>
    <w:rsid w:val="003D568C"/>
    <w:rsid w:val="003E237C"/>
    <w:rsid w:val="003E72A0"/>
    <w:rsid w:val="003E7A8E"/>
    <w:rsid w:val="003F7258"/>
    <w:rsid w:val="00404056"/>
    <w:rsid w:val="00410CF4"/>
    <w:rsid w:val="00416E2D"/>
    <w:rsid w:val="0042741B"/>
    <w:rsid w:val="00427C84"/>
    <w:rsid w:val="00431EE0"/>
    <w:rsid w:val="004320E6"/>
    <w:rsid w:val="004323C7"/>
    <w:rsid w:val="00432DF1"/>
    <w:rsid w:val="0043575B"/>
    <w:rsid w:val="00440227"/>
    <w:rsid w:val="004445A9"/>
    <w:rsid w:val="004456C9"/>
    <w:rsid w:val="004470FB"/>
    <w:rsid w:val="00470E75"/>
    <w:rsid w:val="00477B8E"/>
    <w:rsid w:val="00490AF9"/>
    <w:rsid w:val="00493F0A"/>
    <w:rsid w:val="004A010F"/>
    <w:rsid w:val="004A0829"/>
    <w:rsid w:val="004C1071"/>
    <w:rsid w:val="004C2ABA"/>
    <w:rsid w:val="004D0F36"/>
    <w:rsid w:val="004E2120"/>
    <w:rsid w:val="004E3ABD"/>
    <w:rsid w:val="00511497"/>
    <w:rsid w:val="005118B6"/>
    <w:rsid w:val="005122F6"/>
    <w:rsid w:val="0052000A"/>
    <w:rsid w:val="00541FF5"/>
    <w:rsid w:val="0054692C"/>
    <w:rsid w:val="0056427D"/>
    <w:rsid w:val="00566BEB"/>
    <w:rsid w:val="00567D2B"/>
    <w:rsid w:val="00577F68"/>
    <w:rsid w:val="005800C7"/>
    <w:rsid w:val="00580A58"/>
    <w:rsid w:val="00586FDB"/>
    <w:rsid w:val="0059329F"/>
    <w:rsid w:val="00595875"/>
    <w:rsid w:val="005B49EF"/>
    <w:rsid w:val="005B6A33"/>
    <w:rsid w:val="005D51B8"/>
    <w:rsid w:val="005E327E"/>
    <w:rsid w:val="005E51A4"/>
    <w:rsid w:val="005F1C3F"/>
    <w:rsid w:val="005F5B71"/>
    <w:rsid w:val="00602010"/>
    <w:rsid w:val="00622D7A"/>
    <w:rsid w:val="00623EF6"/>
    <w:rsid w:val="00627EA3"/>
    <w:rsid w:val="006479DF"/>
    <w:rsid w:val="006515F1"/>
    <w:rsid w:val="00660DCB"/>
    <w:rsid w:val="006719A0"/>
    <w:rsid w:val="00672B61"/>
    <w:rsid w:val="006826C5"/>
    <w:rsid w:val="006852E9"/>
    <w:rsid w:val="00687102"/>
    <w:rsid w:val="0068718A"/>
    <w:rsid w:val="00691A7C"/>
    <w:rsid w:val="00697B85"/>
    <w:rsid w:val="006A496E"/>
    <w:rsid w:val="006A5157"/>
    <w:rsid w:val="006A7DF2"/>
    <w:rsid w:val="006C2C95"/>
    <w:rsid w:val="006C4A7F"/>
    <w:rsid w:val="006C6A25"/>
    <w:rsid w:val="006D082A"/>
    <w:rsid w:val="006D3B82"/>
    <w:rsid w:val="006D3D52"/>
    <w:rsid w:val="006E28B8"/>
    <w:rsid w:val="006F15B4"/>
    <w:rsid w:val="006F1C5D"/>
    <w:rsid w:val="00702F16"/>
    <w:rsid w:val="00705F45"/>
    <w:rsid w:val="00711F30"/>
    <w:rsid w:val="00712A61"/>
    <w:rsid w:val="00714388"/>
    <w:rsid w:val="00721161"/>
    <w:rsid w:val="00725C2C"/>
    <w:rsid w:val="00725D56"/>
    <w:rsid w:val="00733F36"/>
    <w:rsid w:val="00744A1E"/>
    <w:rsid w:val="00751238"/>
    <w:rsid w:val="0076414C"/>
    <w:rsid w:val="00765555"/>
    <w:rsid w:val="00771CC6"/>
    <w:rsid w:val="00774537"/>
    <w:rsid w:val="007769A9"/>
    <w:rsid w:val="00777F4F"/>
    <w:rsid w:val="0078017B"/>
    <w:rsid w:val="00780ABC"/>
    <w:rsid w:val="00782970"/>
    <w:rsid w:val="00794FDC"/>
    <w:rsid w:val="007A03C9"/>
    <w:rsid w:val="007A60EF"/>
    <w:rsid w:val="007A74B5"/>
    <w:rsid w:val="007C0184"/>
    <w:rsid w:val="007C2043"/>
    <w:rsid w:val="007F0D9A"/>
    <w:rsid w:val="007F6F35"/>
    <w:rsid w:val="00801225"/>
    <w:rsid w:val="00803014"/>
    <w:rsid w:val="00807413"/>
    <w:rsid w:val="008109A4"/>
    <w:rsid w:val="00813586"/>
    <w:rsid w:val="00814765"/>
    <w:rsid w:val="00815734"/>
    <w:rsid w:val="008205E0"/>
    <w:rsid w:val="00821013"/>
    <w:rsid w:val="00823935"/>
    <w:rsid w:val="00831D2B"/>
    <w:rsid w:val="0084259A"/>
    <w:rsid w:val="0084743A"/>
    <w:rsid w:val="00854A2E"/>
    <w:rsid w:val="008566E2"/>
    <w:rsid w:val="00863E65"/>
    <w:rsid w:val="00865E76"/>
    <w:rsid w:val="008743E6"/>
    <w:rsid w:val="008806AC"/>
    <w:rsid w:val="00881BC5"/>
    <w:rsid w:val="00891ACC"/>
    <w:rsid w:val="00891EDF"/>
    <w:rsid w:val="008A1CF0"/>
    <w:rsid w:val="008A20CF"/>
    <w:rsid w:val="008A3ABD"/>
    <w:rsid w:val="008C271F"/>
    <w:rsid w:val="008D0F9C"/>
    <w:rsid w:val="008E040E"/>
    <w:rsid w:val="008E18C8"/>
    <w:rsid w:val="008E3F90"/>
    <w:rsid w:val="008E627D"/>
    <w:rsid w:val="008F2307"/>
    <w:rsid w:val="008F2627"/>
    <w:rsid w:val="008F4DB5"/>
    <w:rsid w:val="0090110D"/>
    <w:rsid w:val="00911D80"/>
    <w:rsid w:val="00912362"/>
    <w:rsid w:val="00917BA5"/>
    <w:rsid w:val="0092115C"/>
    <w:rsid w:val="00926284"/>
    <w:rsid w:val="00932BD6"/>
    <w:rsid w:val="00937DC2"/>
    <w:rsid w:val="00944BB0"/>
    <w:rsid w:val="009549F7"/>
    <w:rsid w:val="00957B6F"/>
    <w:rsid w:val="009606FA"/>
    <w:rsid w:val="00977CF6"/>
    <w:rsid w:val="009836CF"/>
    <w:rsid w:val="00986DBC"/>
    <w:rsid w:val="009B421D"/>
    <w:rsid w:val="009E0DC8"/>
    <w:rsid w:val="009E556C"/>
    <w:rsid w:val="00A01CEC"/>
    <w:rsid w:val="00A06F34"/>
    <w:rsid w:val="00A144AE"/>
    <w:rsid w:val="00A33931"/>
    <w:rsid w:val="00A37256"/>
    <w:rsid w:val="00A520FC"/>
    <w:rsid w:val="00A65494"/>
    <w:rsid w:val="00A749A1"/>
    <w:rsid w:val="00A9254C"/>
    <w:rsid w:val="00A94B2A"/>
    <w:rsid w:val="00AB755C"/>
    <w:rsid w:val="00AF34B8"/>
    <w:rsid w:val="00B0470C"/>
    <w:rsid w:val="00B12061"/>
    <w:rsid w:val="00B1360B"/>
    <w:rsid w:val="00B214DD"/>
    <w:rsid w:val="00B315E9"/>
    <w:rsid w:val="00B4284E"/>
    <w:rsid w:val="00B45EAB"/>
    <w:rsid w:val="00B5079A"/>
    <w:rsid w:val="00B50C2F"/>
    <w:rsid w:val="00B53B4A"/>
    <w:rsid w:val="00B64CD1"/>
    <w:rsid w:val="00B65075"/>
    <w:rsid w:val="00B660B0"/>
    <w:rsid w:val="00B66BB6"/>
    <w:rsid w:val="00B713AF"/>
    <w:rsid w:val="00B76E67"/>
    <w:rsid w:val="00B815EB"/>
    <w:rsid w:val="00B86FC1"/>
    <w:rsid w:val="00B948E0"/>
    <w:rsid w:val="00BA13ED"/>
    <w:rsid w:val="00BA4376"/>
    <w:rsid w:val="00BC0164"/>
    <w:rsid w:val="00BC4BAC"/>
    <w:rsid w:val="00BE5DFF"/>
    <w:rsid w:val="00BF4803"/>
    <w:rsid w:val="00BF4995"/>
    <w:rsid w:val="00BF7479"/>
    <w:rsid w:val="00C02231"/>
    <w:rsid w:val="00C11731"/>
    <w:rsid w:val="00C13AF9"/>
    <w:rsid w:val="00C214B6"/>
    <w:rsid w:val="00C31910"/>
    <w:rsid w:val="00C348A2"/>
    <w:rsid w:val="00C4420E"/>
    <w:rsid w:val="00C52268"/>
    <w:rsid w:val="00C53567"/>
    <w:rsid w:val="00C567E9"/>
    <w:rsid w:val="00C6439D"/>
    <w:rsid w:val="00C71D0A"/>
    <w:rsid w:val="00C7625A"/>
    <w:rsid w:val="00C76EFF"/>
    <w:rsid w:val="00C76F19"/>
    <w:rsid w:val="00C86C3B"/>
    <w:rsid w:val="00C92BF0"/>
    <w:rsid w:val="00CA208E"/>
    <w:rsid w:val="00CB33DE"/>
    <w:rsid w:val="00CB4790"/>
    <w:rsid w:val="00CB6194"/>
    <w:rsid w:val="00CC21DC"/>
    <w:rsid w:val="00CC5737"/>
    <w:rsid w:val="00CD3D13"/>
    <w:rsid w:val="00CF5379"/>
    <w:rsid w:val="00D05350"/>
    <w:rsid w:val="00D434C3"/>
    <w:rsid w:val="00D471C8"/>
    <w:rsid w:val="00D5558B"/>
    <w:rsid w:val="00D61BB6"/>
    <w:rsid w:val="00D67B13"/>
    <w:rsid w:val="00D71A7B"/>
    <w:rsid w:val="00D71BDB"/>
    <w:rsid w:val="00D7589B"/>
    <w:rsid w:val="00D8137B"/>
    <w:rsid w:val="00D86DA2"/>
    <w:rsid w:val="00D900AF"/>
    <w:rsid w:val="00D905DF"/>
    <w:rsid w:val="00D90CF6"/>
    <w:rsid w:val="00D936F7"/>
    <w:rsid w:val="00D94B08"/>
    <w:rsid w:val="00DB0798"/>
    <w:rsid w:val="00DB3113"/>
    <w:rsid w:val="00DB798B"/>
    <w:rsid w:val="00DC5D31"/>
    <w:rsid w:val="00DF18AF"/>
    <w:rsid w:val="00E03684"/>
    <w:rsid w:val="00E109AA"/>
    <w:rsid w:val="00E11626"/>
    <w:rsid w:val="00E21D04"/>
    <w:rsid w:val="00E33236"/>
    <w:rsid w:val="00E47294"/>
    <w:rsid w:val="00E50154"/>
    <w:rsid w:val="00E52D37"/>
    <w:rsid w:val="00E5416A"/>
    <w:rsid w:val="00E61D2E"/>
    <w:rsid w:val="00E66F0C"/>
    <w:rsid w:val="00E701EB"/>
    <w:rsid w:val="00E742C1"/>
    <w:rsid w:val="00E74EA1"/>
    <w:rsid w:val="00E7702D"/>
    <w:rsid w:val="00E82811"/>
    <w:rsid w:val="00E836BC"/>
    <w:rsid w:val="00E90D10"/>
    <w:rsid w:val="00EA76F5"/>
    <w:rsid w:val="00EB7E0A"/>
    <w:rsid w:val="00EC5005"/>
    <w:rsid w:val="00ED3F33"/>
    <w:rsid w:val="00EE7018"/>
    <w:rsid w:val="00EE70FE"/>
    <w:rsid w:val="00F00622"/>
    <w:rsid w:val="00F0607A"/>
    <w:rsid w:val="00F10B9D"/>
    <w:rsid w:val="00F17B69"/>
    <w:rsid w:val="00F27075"/>
    <w:rsid w:val="00F353B5"/>
    <w:rsid w:val="00F426CF"/>
    <w:rsid w:val="00F53646"/>
    <w:rsid w:val="00F60497"/>
    <w:rsid w:val="00F64F3B"/>
    <w:rsid w:val="00F67358"/>
    <w:rsid w:val="00F83000"/>
    <w:rsid w:val="00F854AC"/>
    <w:rsid w:val="00F87DFE"/>
    <w:rsid w:val="00F92867"/>
    <w:rsid w:val="00F97E8C"/>
    <w:rsid w:val="00FA79F0"/>
    <w:rsid w:val="00FB0A9E"/>
    <w:rsid w:val="00FC04A6"/>
    <w:rsid w:val="00FC0F30"/>
    <w:rsid w:val="00FC1456"/>
    <w:rsid w:val="00FC28EE"/>
    <w:rsid w:val="00FD4CCD"/>
    <w:rsid w:val="00FE7AE1"/>
    <w:rsid w:val="00FF0096"/>
    <w:rsid w:val="00FF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66F0C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qFormat/>
    <w:rsid w:val="00E66F0C"/>
    <w:rPr>
      <w:rFonts w:ascii="Century Gothic" w:hAnsi="Century Gothic"/>
      <w:sz w:val="16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E66F0C"/>
    <w:rPr>
      <w:rFonts w:ascii="Century Gothic" w:hAnsi="Century Gothic" w:cs="Times New Roman"/>
      <w:sz w:val="16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66F0C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qFormat/>
    <w:rsid w:val="00E66F0C"/>
    <w:rPr>
      <w:rFonts w:ascii="Century Gothic" w:hAnsi="Century Gothic"/>
      <w:sz w:val="16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E66F0C"/>
    <w:rPr>
      <w:rFonts w:ascii="Century Gothic" w:hAnsi="Century Gothic" w:cs="Times New Roman"/>
      <w:sz w:val="16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4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E6E7A-4426-4597-98ED-E34A81FB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175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Lenka K.</cp:lastModifiedBy>
  <cp:revision>32</cp:revision>
  <cp:lastPrinted>2015-02-05T16:37:00Z</cp:lastPrinted>
  <dcterms:created xsi:type="dcterms:W3CDTF">2015-10-19T19:56:00Z</dcterms:created>
  <dcterms:modified xsi:type="dcterms:W3CDTF">2018-11-15T12:51:00Z</dcterms:modified>
</cp:coreProperties>
</file>